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B163B3">
      <w:pPr>
        <w:pStyle w:val="a7"/>
        <w:spacing w:after="240" w:afterAutospacing="0"/>
        <w:jc w:val="both"/>
        <w:rPr>
          <w:sz w:val="32"/>
        </w:rPr>
      </w:pPr>
      <w:r w:rsidRPr="00EB0BC8">
        <w:rPr>
          <w:sz w:val="32"/>
          <w:szCs w:val="27"/>
        </w:rPr>
        <w:lastRenderedPageBreak/>
        <w:t>1. Родителям необходимо постоянно напоминать детям о правилах поведения на дороге.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на улице, если ребенок пугается приближающейся опасности, он чаще всего поступает неадекватно: импульсивно старается убежать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B331F8">
        <w:rPr>
          <w:sz w:val="32"/>
          <w:szCs w:val="27"/>
        </w:rPr>
        <w:t>световозвращающим</w:t>
      </w:r>
      <w:proofErr w:type="spellEnd"/>
      <w:r w:rsidRPr="00B331F8">
        <w:rPr>
          <w:sz w:val="32"/>
          <w:szCs w:val="27"/>
        </w:rPr>
        <w:t xml:space="preserve"> элементом с расстояния метров, когда без него - с </w:t>
      </w:r>
      <w:proofErr w:type="spellStart"/>
      <w:r w:rsidRPr="00B331F8">
        <w:rPr>
          <w:sz w:val="32"/>
          <w:szCs w:val="27"/>
        </w:rPr>
        <w:t>расстоянияметров</w:t>
      </w:r>
      <w:proofErr w:type="spellEnd"/>
      <w:r w:rsidRPr="00B331F8">
        <w:rPr>
          <w:sz w:val="32"/>
          <w:szCs w:val="27"/>
        </w:rPr>
        <w:t>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lastRenderedPageBreak/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  <w:bookmarkStart w:id="0" w:name="_GoBack"/>
      <w:bookmarkEnd w:id="0"/>
    </w:p>
    <w:sectPr w:rsidR="00B331F8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BC8"/>
    <w:rsid w:val="001B24B2"/>
    <w:rsid w:val="00265BCC"/>
    <w:rsid w:val="00364882"/>
    <w:rsid w:val="00B163B3"/>
    <w:rsid w:val="00B331F8"/>
    <w:rsid w:val="00E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1312</Words>
  <Characters>7483</Characters>
  <Application>Microsoft Office Word</Application>
  <DocSecurity>0</DocSecurity>
  <Lines>62</Lines>
  <Paragraphs>17</Paragraphs>
  <ScaleCrop>false</ScaleCrop>
  <Company>Microsoft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2017-09-19T03:18:00Z</dcterms:created>
  <dcterms:modified xsi:type="dcterms:W3CDTF">2017-10-16T03:19:00Z</dcterms:modified>
</cp:coreProperties>
</file>